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AD150">
      <w:pPr>
        <w:pStyle w:val="2"/>
        <w:jc w:val="center"/>
      </w:pPr>
      <w:bookmarkStart w:id="0" w:name="医院人脸识别系统采购及安装项目招标需求"/>
      <w:r>
        <w:t>人脸识别系统采购及安装项目招标需求</w:t>
      </w:r>
    </w:p>
    <w:p w14:paraId="1617F2DC">
      <w:pPr>
        <w:pStyle w:val="4"/>
      </w:pPr>
      <w:bookmarkStart w:id="1" w:name="一项目概况"/>
      <w:r>
        <w:t>一、项目概况</w:t>
      </w:r>
    </w:p>
    <w:p w14:paraId="5292F03D">
      <w:pPr>
        <w:numPr>
          <w:ilvl w:val="0"/>
          <w:numId w:val="1"/>
        </w:numPr>
      </w:pPr>
      <w:r>
        <w:rPr>
          <w:b/>
          <w:bCs/>
        </w:rPr>
        <w:t>项目名称</w:t>
      </w:r>
      <w:r>
        <w:t>：</w:t>
      </w:r>
      <w:r>
        <w:rPr>
          <w:rFonts w:hint="eastAsia"/>
          <w:lang w:val="en-US" w:eastAsia="zh-CN"/>
        </w:rPr>
        <w:t>菏泽医学专科学校附属医院</w:t>
      </w:r>
      <w:r>
        <w:t>人脸识别系统采购及安装项目</w:t>
      </w:r>
    </w:p>
    <w:p w14:paraId="7A4160E2">
      <w:pPr>
        <w:numPr>
          <w:ilvl w:val="0"/>
          <w:numId w:val="1"/>
        </w:numPr>
      </w:pPr>
      <w:r>
        <w:rPr>
          <w:b/>
          <w:bCs/>
        </w:rPr>
        <w:t>项目地点</w:t>
      </w:r>
      <w:r>
        <w:t>：</w:t>
      </w:r>
      <w:r>
        <w:rPr>
          <w:rFonts w:hint="eastAsia"/>
          <w:lang w:val="en-US" w:eastAsia="zh-CN"/>
        </w:rPr>
        <w:t>菏泽市鲁西新区珠江路777</w:t>
      </w:r>
      <w:r>
        <w:t>号 医院内指定区域</w:t>
      </w:r>
    </w:p>
    <w:p w14:paraId="6A0EA92E">
      <w:pPr>
        <w:numPr>
          <w:ilvl w:val="0"/>
          <w:numId w:val="1"/>
        </w:numPr>
      </w:pPr>
      <w:r>
        <w:rPr>
          <w:b/>
          <w:bCs/>
        </w:rPr>
        <w:t>需求背景</w:t>
      </w:r>
      <w:r>
        <w:t>：为提升医院出入口人员管理效率、强化公共安全管控、优化就诊服务流程，实现人员身份快速核验、重点人员预警，需采购安装适配医院场景的人脸识别系统，本项目涵盖</w:t>
      </w:r>
      <w:r>
        <w:rPr>
          <w:rFonts w:hint="eastAsia"/>
          <w:lang w:val="en-US" w:eastAsia="zh-CN"/>
        </w:rPr>
        <w:t>门诊楼出</w:t>
      </w:r>
      <w:r>
        <w:t>入口、住院</w:t>
      </w:r>
      <w:r>
        <w:rPr>
          <w:rFonts w:hint="eastAsia"/>
          <w:lang w:val="en-US" w:eastAsia="zh-CN"/>
        </w:rPr>
        <w:t>楼入口</w:t>
      </w:r>
      <w:r>
        <w:t>、</w:t>
      </w:r>
      <w:r>
        <w:rPr>
          <w:rFonts w:hint="eastAsia"/>
          <w:lang w:val="en-US" w:eastAsia="zh-CN"/>
        </w:rPr>
        <w:t>急诊入口</w:t>
      </w:r>
      <w:r>
        <w:t>共</w:t>
      </w:r>
      <w:r>
        <w:rPr>
          <w:rFonts w:hint="eastAsia"/>
          <w:lang w:val="en-US" w:eastAsia="zh-CN"/>
        </w:rPr>
        <w:t>四</w:t>
      </w:r>
      <w:r>
        <w:t>个点位的系统部署。</w:t>
      </w:r>
    </w:p>
    <w:p w14:paraId="2C26B4CE">
      <w:pPr>
        <w:numPr>
          <w:ilvl w:val="0"/>
          <w:numId w:val="1"/>
        </w:numPr>
      </w:pPr>
      <w:r>
        <w:rPr>
          <w:b/>
          <w:bCs/>
        </w:rPr>
        <w:t>预算金额</w:t>
      </w:r>
      <w:r>
        <w:t>：人民币</w:t>
      </w:r>
      <w:r>
        <w:rPr>
          <w:rFonts w:hint="eastAsia"/>
          <w:lang w:val="en-US" w:eastAsia="zh-CN"/>
        </w:rPr>
        <w:t>2</w:t>
      </w:r>
      <w:r>
        <w:t>万元，超出预算的投标视为无效投标</w:t>
      </w:r>
      <w:r>
        <w:rPr>
          <w:rFonts w:hint="eastAsia"/>
          <w:lang w:eastAsia="zh-CN"/>
        </w:rPr>
        <w:t>。</w:t>
      </w:r>
    </w:p>
    <w:bookmarkEnd w:id="1"/>
    <w:p w14:paraId="34CECCB7">
      <w:pPr>
        <w:pStyle w:val="4"/>
      </w:pPr>
      <w:bookmarkStart w:id="2" w:name="二系统整体要求"/>
      <w:r>
        <w:t>二、系统整体要求</w:t>
      </w:r>
    </w:p>
    <w:p w14:paraId="4697F466">
      <w:pPr>
        <w:numPr>
          <w:ilvl w:val="0"/>
          <w:numId w:val="2"/>
        </w:numPr>
      </w:pPr>
      <w:r>
        <w:t>适配医院复杂场景：满足门诊逆光/暗光环境、人员佩戴口罩、儿童/老年特殊人脸特征的精准识别需求，不干扰正常就诊通行秩序；</w:t>
      </w:r>
    </w:p>
    <w:p w14:paraId="4A5CF774">
      <w:pPr>
        <w:numPr>
          <w:ilvl w:val="0"/>
          <w:numId w:val="2"/>
        </w:numPr>
      </w:pPr>
      <w:r>
        <w:t>符合医疗行业合规要求：严格遵循《网络安全法》《个人信息保护法》《医疗卫生机构网络安全管理办法》，人脸数据仅可存储在医院本地服务器，禁止数据外传，具备完整的数据加密、权限管控机制；</w:t>
      </w:r>
    </w:p>
    <w:p w14:paraId="78E322BC">
      <w:pPr>
        <w:numPr>
          <w:ilvl w:val="0"/>
          <w:numId w:val="2"/>
        </w:numPr>
      </w:pPr>
      <w:r>
        <w:t>稳定性要求：支持7*24小时不间断运行，年故障率不高于0.5%，单终端识别响应时间≤0.3秒，系统并发识别能力不低于</w:t>
      </w:r>
      <w:r>
        <w:rPr>
          <w:rFonts w:hint="eastAsia"/>
          <w:lang w:val="en-US" w:eastAsia="zh-CN"/>
        </w:rPr>
        <w:t>16</w:t>
      </w:r>
      <w:r>
        <w:t>路。</w:t>
      </w:r>
    </w:p>
    <w:bookmarkEnd w:id="2"/>
    <w:p w14:paraId="62AA82C7">
      <w:pPr>
        <w:pStyle w:val="4"/>
      </w:pPr>
      <w:bookmarkStart w:id="3" w:name="三硬件参数要求"/>
      <w:r>
        <w:t>三、硬件参数要求</w:t>
      </w:r>
    </w:p>
    <w:tbl>
      <w:tblPr>
        <w:tblStyle w:val="34"/>
        <w:tblW w:w="4998" w:type="pct"/>
        <w:tblInd w:w="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fixed"/>
        <w:tblCellMar>
          <w:top w:w="0" w:type="dxa"/>
          <w:left w:w="108" w:type="dxa"/>
          <w:bottom w:w="0" w:type="dxa"/>
          <w:right w:w="108" w:type="dxa"/>
        </w:tblCellMar>
      </w:tblPr>
      <w:tblGrid>
        <w:gridCol w:w="1389"/>
        <w:gridCol w:w="6423"/>
        <w:gridCol w:w="520"/>
        <w:gridCol w:w="520"/>
      </w:tblGrid>
      <w:tr w14:paraId="1276DC3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rPr>
          <w:tblHeader/>
        </w:trPr>
        <w:tc>
          <w:p w14:paraId="444B1DDA">
            <w:pPr>
              <w:pStyle w:val="29"/>
              <w:jc w:val="left"/>
            </w:pPr>
            <w:r>
              <w:t>设备名称</w:t>
            </w:r>
          </w:p>
        </w:tc>
        <w:tc>
          <w:p w14:paraId="3E13380E">
            <w:pPr>
              <w:pStyle w:val="29"/>
              <w:jc w:val="left"/>
            </w:pPr>
            <w:r>
              <w:t>参数要求</w:t>
            </w:r>
          </w:p>
        </w:tc>
        <w:tc>
          <w:p w14:paraId="2F0998B9">
            <w:pPr>
              <w:pStyle w:val="29"/>
              <w:jc w:val="left"/>
            </w:pPr>
            <w:r>
              <w:t>数量</w:t>
            </w:r>
          </w:p>
        </w:tc>
        <w:tc>
          <w:p w14:paraId="32DA9D13">
            <w:pPr>
              <w:pStyle w:val="29"/>
              <w:jc w:val="left"/>
            </w:pPr>
            <w:r>
              <w:t>单位</w:t>
            </w:r>
          </w:p>
        </w:tc>
      </w:tr>
      <w:tr w14:paraId="16B3214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c>
          <w:p w14:paraId="7348EA85">
            <w:pPr>
              <w:pStyle w:val="29"/>
              <w:jc w:val="left"/>
            </w:pPr>
            <w:r>
              <w:t>人脸识别核验终端</w:t>
            </w:r>
          </w:p>
        </w:tc>
        <w:tc>
          <w:p w14:paraId="4F970067">
            <w:pPr>
              <w:pStyle w:val="29"/>
              <w:jc w:val="left"/>
              <w:rPr>
                <w:rFonts w:hint="default"/>
                <w:lang w:val="en-US" w:eastAsia="zh-CN"/>
              </w:rPr>
            </w:pPr>
            <w:r>
              <w:rPr>
                <w:rFonts w:hint="eastAsia"/>
                <w:lang w:val="en-US" w:eastAsia="zh-CN"/>
              </w:rPr>
              <w:t>人脸抓拍：1、支持对运动人脸进行抓拍及人脸属性提取；2、支持人脸去误报、快速抓拍人脸；3、支持快速抓拍和最佳抓拍两种模式；4、支持人脸去重。</w:t>
            </w:r>
          </w:p>
          <w:p w14:paraId="219882E6">
            <w:pPr>
              <w:pStyle w:val="29"/>
              <w:jc w:val="left"/>
              <w:rPr>
                <w:rFonts w:hint="eastAsia"/>
                <w:lang w:val="en-US" w:eastAsia="zh-CN"/>
              </w:rPr>
            </w:pPr>
            <w:r>
              <w:rPr>
                <w:rFonts w:hint="eastAsia"/>
                <w:lang w:val="en-US" w:eastAsia="zh-CN"/>
              </w:rPr>
              <w:t>目标比对：1、支持前端人脸比对；2、支持不同人脸库不同时间布防；3、支持非授权名单比对成功报警输出；4、支持人脸快速比对，最佳比对方式设置。</w:t>
            </w:r>
          </w:p>
          <w:p w14:paraId="010B278C">
            <w:pPr>
              <w:pStyle w:val="29"/>
              <w:jc w:val="left"/>
              <w:rPr>
                <w:rFonts w:hint="eastAsia"/>
                <w:lang w:val="en-US" w:eastAsia="zh-CN"/>
              </w:rPr>
            </w:pPr>
            <w:r>
              <w:rPr>
                <w:rFonts w:hint="eastAsia"/>
                <w:lang w:val="en-US" w:eastAsia="zh-CN"/>
              </w:rPr>
              <w:t>图像相关：设备支持400万像素，图像清晰流畅；支持透雾，电子防抖，并具有多种自平衡模式，适合各种场景需求。设备支持针对夜晚不同目标的特性（反光率、速度、大小等），采用多帧拆分技术，同时实现夜晚场景下人脸最优抓拍效果。</w:t>
            </w:r>
          </w:p>
          <w:p w14:paraId="1445F3FE">
            <w:pPr>
              <w:pStyle w:val="29"/>
              <w:jc w:val="left"/>
              <w:rPr>
                <w:rFonts w:hint="eastAsia"/>
                <w:lang w:val="en-US" w:eastAsia="zh-CN"/>
              </w:rPr>
            </w:pPr>
            <w:r>
              <w:rPr>
                <w:rFonts w:hint="eastAsia"/>
                <w:lang w:val="en-US" w:eastAsia="zh-CN"/>
              </w:rPr>
              <w:t>音频：2路音频输入，1路音频输出。</w:t>
            </w:r>
          </w:p>
          <w:p w14:paraId="1E6B5FE5">
            <w:pPr>
              <w:pStyle w:val="29"/>
              <w:jc w:val="left"/>
              <w:rPr>
                <w:rFonts w:hint="eastAsia"/>
                <w:lang w:val="en-US" w:eastAsia="zh-CN"/>
              </w:rPr>
            </w:pPr>
            <w:r>
              <w:rPr>
                <w:rFonts w:hint="eastAsia"/>
                <w:lang w:val="en-US" w:eastAsia="zh-CN"/>
              </w:rPr>
              <w:t>存储温湿度：-30 °C~60 °C，湿度小于95%（无凝结）</w:t>
            </w:r>
          </w:p>
          <w:p w14:paraId="0F28C70E">
            <w:pPr>
              <w:pStyle w:val="29"/>
              <w:jc w:val="left"/>
              <w:rPr>
                <w:rFonts w:hint="eastAsia"/>
                <w:lang w:val="en-US" w:eastAsia="zh-CN"/>
              </w:rPr>
            </w:pPr>
            <w:r>
              <w:rPr>
                <w:rFonts w:hint="eastAsia"/>
                <w:lang w:val="en-US" w:eastAsia="zh-CN"/>
              </w:rPr>
              <w:t>启动和工作温湿度：-30 °C~60 °C，湿度小于95%（无凝结）。</w:t>
            </w:r>
          </w:p>
          <w:p w14:paraId="001EDEB3">
            <w:pPr>
              <w:pStyle w:val="29"/>
              <w:jc w:val="left"/>
            </w:pPr>
            <w:r>
              <w:rPr>
                <w:rFonts w:hint="eastAsia"/>
                <w:lang w:val="en-US" w:eastAsia="zh-CN"/>
              </w:rPr>
              <w:t>物理防护：防水防尘：IP67 。</w:t>
            </w:r>
          </w:p>
        </w:tc>
        <w:tc>
          <w:p w14:paraId="2A762ABA">
            <w:pPr>
              <w:pStyle w:val="29"/>
              <w:jc w:val="left"/>
              <w:rPr>
                <w:rFonts w:hint="eastAsia" w:eastAsiaTheme="minorEastAsia"/>
                <w:lang w:eastAsia="zh-CN"/>
              </w:rPr>
            </w:pPr>
            <w:r>
              <w:rPr>
                <w:rFonts w:hint="eastAsia"/>
                <w:lang w:val="en-US" w:eastAsia="zh-CN"/>
              </w:rPr>
              <w:t>4</w:t>
            </w:r>
          </w:p>
        </w:tc>
        <w:tc>
          <w:p w14:paraId="06DA0866">
            <w:pPr>
              <w:pStyle w:val="29"/>
              <w:jc w:val="left"/>
            </w:pPr>
            <w:r>
              <w:t>台</w:t>
            </w:r>
          </w:p>
        </w:tc>
      </w:tr>
      <w:tr w14:paraId="3C255F8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c>
          <w:p w14:paraId="103C4D08">
            <w:pPr>
              <w:pStyle w:val="29"/>
              <w:jc w:val="left"/>
            </w:pPr>
            <w:r>
              <w:t>本地管理服务器</w:t>
            </w:r>
          </w:p>
        </w:tc>
        <w:tc>
          <w:p w14:paraId="70F80F02">
            <w:pPr>
              <w:pStyle w:val="29"/>
              <w:jc w:val="left"/>
              <w:rPr>
                <w:rFonts w:hint="eastAsia"/>
              </w:rPr>
            </w:pPr>
            <w:r>
              <w:rPr>
                <w:rFonts w:hint="eastAsia"/>
                <w:lang w:val="en-US" w:eastAsia="zh-CN"/>
              </w:rPr>
              <w:t>1</w:t>
            </w:r>
            <w:r>
              <w:rPr>
                <w:rFonts w:hint="eastAsia"/>
              </w:rPr>
              <w:t>、以图搜图</w:t>
            </w:r>
          </w:p>
          <w:p w14:paraId="3C09EFF9">
            <w:pPr>
              <w:pStyle w:val="29"/>
              <w:jc w:val="left"/>
              <w:rPr>
                <w:rFonts w:hint="eastAsia"/>
              </w:rPr>
            </w:pPr>
            <w:r>
              <w:rPr>
                <w:rFonts w:hint="eastAsia"/>
              </w:rPr>
              <w:t>支持以图搜图功能，可对视频预览和录像中的目标实现快速检索</w:t>
            </w:r>
          </w:p>
          <w:p w14:paraId="4C6FF804">
            <w:pPr>
              <w:pStyle w:val="29"/>
              <w:jc w:val="left"/>
              <w:rPr>
                <w:rFonts w:hint="eastAsia"/>
              </w:rPr>
            </w:pPr>
            <w:r>
              <w:rPr>
                <w:rFonts w:hint="eastAsia"/>
              </w:rPr>
              <w:t>图片流：32路图片流</w:t>
            </w:r>
          </w:p>
          <w:p w14:paraId="64B90D24">
            <w:pPr>
              <w:pStyle w:val="29"/>
              <w:jc w:val="left"/>
              <w:rPr>
                <w:rFonts w:hint="eastAsia"/>
              </w:rPr>
            </w:pPr>
            <w:r>
              <w:rPr>
                <w:rFonts w:hint="eastAsia"/>
              </w:rPr>
              <w:t>单颗AI引擎分析能力：32路图片流</w:t>
            </w:r>
          </w:p>
          <w:p w14:paraId="47B00C02">
            <w:pPr>
              <w:pStyle w:val="29"/>
              <w:jc w:val="left"/>
              <w:rPr>
                <w:rFonts w:hint="eastAsia"/>
              </w:rPr>
            </w:pPr>
            <w:r>
              <w:rPr>
                <w:rFonts w:hint="eastAsia"/>
                <w:lang w:val="en-US" w:eastAsia="zh-CN"/>
              </w:rPr>
              <w:t>2</w:t>
            </w:r>
            <w:r>
              <w:rPr>
                <w:rFonts w:hint="eastAsia"/>
              </w:rPr>
              <w:t>、目标识别</w:t>
            </w:r>
          </w:p>
          <w:p w14:paraId="36290405">
            <w:pPr>
              <w:pStyle w:val="29"/>
              <w:jc w:val="left"/>
              <w:rPr>
                <w:rFonts w:hint="eastAsia" w:eastAsiaTheme="minorEastAsia"/>
                <w:lang w:eastAsia="zh-CN"/>
              </w:rPr>
            </w:pPr>
            <w:r>
              <w:rPr>
                <w:rFonts w:hint="eastAsia"/>
              </w:rPr>
              <w:t>支持目标抓拍、比对报警；支持以图搜图、按姓名检索、按属性检索</w:t>
            </w:r>
            <w:r>
              <w:rPr>
                <w:rFonts w:hint="eastAsia"/>
                <w:lang w:eastAsia="zh-CN"/>
              </w:rPr>
              <w:t>。</w:t>
            </w:r>
          </w:p>
          <w:p w14:paraId="204A7A3B">
            <w:pPr>
              <w:pStyle w:val="29"/>
              <w:jc w:val="left"/>
              <w:rPr>
                <w:rFonts w:hint="eastAsia" w:eastAsiaTheme="minorEastAsia"/>
                <w:lang w:eastAsia="zh-CN"/>
              </w:rPr>
            </w:pPr>
            <w:r>
              <w:rPr>
                <w:rFonts w:hint="eastAsia"/>
              </w:rPr>
              <w:t>目标名单库：支持32个名单库，名单库库容10万张；路人库库容10万张</w:t>
            </w:r>
            <w:r>
              <w:rPr>
                <w:rFonts w:hint="eastAsia"/>
                <w:lang w:eastAsia="zh-CN"/>
              </w:rPr>
              <w:t>。</w:t>
            </w:r>
          </w:p>
          <w:p w14:paraId="4A1EE04E">
            <w:pPr>
              <w:pStyle w:val="29"/>
              <w:jc w:val="left"/>
              <w:rPr>
                <w:rFonts w:hint="eastAsia"/>
              </w:rPr>
            </w:pPr>
            <w:r>
              <w:rPr>
                <w:rFonts w:hint="eastAsia"/>
              </w:rPr>
              <w:t>视频流：16路视频流（2MP）</w:t>
            </w:r>
          </w:p>
          <w:p w14:paraId="19EE93E5">
            <w:pPr>
              <w:pStyle w:val="29"/>
              <w:jc w:val="left"/>
              <w:rPr>
                <w:rFonts w:hint="eastAsia"/>
              </w:rPr>
            </w:pPr>
            <w:r>
              <w:rPr>
                <w:rFonts w:hint="eastAsia"/>
              </w:rPr>
              <w:t>图片流：32路图片流</w:t>
            </w:r>
          </w:p>
          <w:p w14:paraId="7408B3B0">
            <w:pPr>
              <w:pStyle w:val="29"/>
              <w:jc w:val="left"/>
              <w:rPr>
                <w:rFonts w:hint="eastAsia" w:eastAsiaTheme="minorEastAsia"/>
                <w:lang w:eastAsia="zh-CN"/>
              </w:rPr>
            </w:pPr>
            <w:r>
              <w:rPr>
                <w:rFonts w:hint="eastAsia"/>
              </w:rPr>
              <w:t>目标客流：支持客流分析（图片流），支持4个客流统计组去重</w:t>
            </w:r>
            <w:r>
              <w:rPr>
                <w:rFonts w:hint="eastAsia"/>
                <w:lang w:eastAsia="zh-CN"/>
              </w:rPr>
              <w:t>。</w:t>
            </w:r>
          </w:p>
          <w:p w14:paraId="4C570E18">
            <w:pPr>
              <w:pStyle w:val="29"/>
              <w:jc w:val="left"/>
              <w:rPr>
                <w:rFonts w:hint="eastAsia"/>
              </w:rPr>
            </w:pPr>
            <w:r>
              <w:rPr>
                <w:rFonts w:hint="eastAsia"/>
              </w:rPr>
              <w:t>目标应用：签到、频次（高频、低频）</w:t>
            </w:r>
          </w:p>
          <w:p w14:paraId="0332A4AF">
            <w:pPr>
              <w:pStyle w:val="29"/>
              <w:jc w:val="left"/>
              <w:rPr>
                <w:rFonts w:hint="eastAsia" w:eastAsiaTheme="minorEastAsia"/>
                <w:lang w:eastAsia="zh-CN"/>
              </w:rPr>
            </w:pPr>
            <w:r>
              <w:rPr>
                <w:rFonts w:hint="eastAsia"/>
              </w:rPr>
              <w:t>单颗AI引擎分析能力：32路图片流或8路2MP/6路4MP/4路8MP视频流</w:t>
            </w:r>
            <w:r>
              <w:rPr>
                <w:rFonts w:hint="eastAsia"/>
                <w:lang w:eastAsia="zh-CN"/>
              </w:rPr>
              <w:t>。</w:t>
            </w:r>
          </w:p>
          <w:p w14:paraId="49E40542">
            <w:pPr>
              <w:pStyle w:val="29"/>
              <w:jc w:val="left"/>
              <w:rPr>
                <w:rFonts w:hint="eastAsia"/>
                <w:lang w:val="en-US" w:eastAsia="zh-CN"/>
              </w:rPr>
            </w:pPr>
            <w:r>
              <w:rPr>
                <w:rFonts w:hint="eastAsia"/>
                <w:lang w:val="en-US" w:eastAsia="zh-CN"/>
              </w:rPr>
              <w:t>3、周界防范</w:t>
            </w:r>
          </w:p>
          <w:p w14:paraId="630557E3">
            <w:pPr>
              <w:pStyle w:val="29"/>
              <w:jc w:val="left"/>
              <w:rPr>
                <w:rFonts w:hint="eastAsia"/>
                <w:lang w:val="en-US" w:eastAsia="zh-CN"/>
              </w:rPr>
            </w:pPr>
            <w:r>
              <w:rPr>
                <w:rFonts w:hint="eastAsia"/>
                <w:lang w:val="en-US" w:eastAsia="zh-CN"/>
              </w:rPr>
              <w:t>支持周界算法（越界侦测、区域入侵、进入区域、离开区域）事件声光报警及联动。</w:t>
            </w:r>
          </w:p>
          <w:p w14:paraId="1CF1B5B8">
            <w:pPr>
              <w:pStyle w:val="29"/>
              <w:jc w:val="left"/>
              <w:rPr>
                <w:rFonts w:hint="eastAsia" w:eastAsiaTheme="minorEastAsia"/>
                <w:lang w:val="en-US" w:eastAsia="zh-CN"/>
              </w:rPr>
            </w:pPr>
            <w:r>
              <w:rPr>
                <w:rFonts w:hint="eastAsia"/>
                <w:lang w:val="en-US" w:eastAsia="zh-CN"/>
              </w:rPr>
              <w:t>4、</w:t>
            </w:r>
            <w:r>
              <w:t>支持区域数据本地处理，降低主干网络带宽占用，保障系统运行稳定性</w:t>
            </w:r>
            <w:r>
              <w:rPr>
                <w:rFonts w:hint="eastAsia"/>
                <w:lang w:eastAsia="zh-CN"/>
              </w:rPr>
              <w:t>。</w:t>
            </w:r>
          </w:p>
        </w:tc>
        <w:tc>
          <w:p w14:paraId="055E1BEB">
            <w:pPr>
              <w:pStyle w:val="29"/>
              <w:jc w:val="left"/>
            </w:pPr>
            <w:r>
              <w:t>1</w:t>
            </w:r>
          </w:p>
        </w:tc>
        <w:tc>
          <w:p w14:paraId="600D03DD">
            <w:pPr>
              <w:pStyle w:val="29"/>
              <w:jc w:val="left"/>
            </w:pPr>
            <w:r>
              <w:t>台</w:t>
            </w:r>
          </w:p>
        </w:tc>
      </w:tr>
      <w:tr w14:paraId="6565ED6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c>
          <w:p w14:paraId="3F048BC3">
            <w:pPr>
              <w:pStyle w:val="29"/>
              <w:jc w:val="left"/>
              <w:rPr>
                <w:rFonts w:hint="default" w:eastAsiaTheme="minorEastAsia"/>
                <w:lang w:val="en-US" w:eastAsia="zh-CN"/>
              </w:rPr>
            </w:pPr>
            <w:r>
              <w:rPr>
                <w:rFonts w:hint="eastAsia"/>
                <w:lang w:val="en-US" w:eastAsia="zh-CN"/>
              </w:rPr>
              <w:t>显示器</w:t>
            </w:r>
          </w:p>
        </w:tc>
        <w:tc>
          <w:p w14:paraId="49BE8B57">
            <w:pPr>
              <w:pStyle w:val="29"/>
              <w:jc w:val="left"/>
            </w:pPr>
            <w:r>
              <w:rPr>
                <w:rFonts w:hint="eastAsia"/>
              </w:rPr>
              <w:t>21寸显示器</w:t>
            </w:r>
          </w:p>
        </w:tc>
        <w:tc>
          <w:p w14:paraId="01B5EA62">
            <w:pPr>
              <w:pStyle w:val="29"/>
              <w:jc w:val="left"/>
              <w:rPr>
                <w:rFonts w:hint="eastAsia" w:eastAsiaTheme="minorEastAsia"/>
                <w:lang w:val="en-US" w:eastAsia="zh-CN"/>
              </w:rPr>
            </w:pPr>
            <w:r>
              <w:rPr>
                <w:rFonts w:hint="eastAsia"/>
                <w:lang w:val="en-US" w:eastAsia="zh-CN"/>
              </w:rPr>
              <w:t>1</w:t>
            </w:r>
          </w:p>
        </w:tc>
        <w:tc>
          <w:p w14:paraId="18A27846">
            <w:pPr>
              <w:pStyle w:val="29"/>
              <w:jc w:val="left"/>
              <w:rPr>
                <w:rFonts w:hint="eastAsia" w:eastAsiaTheme="minorEastAsia"/>
                <w:lang w:val="en-US" w:eastAsia="zh-CN"/>
              </w:rPr>
            </w:pPr>
            <w:r>
              <w:rPr>
                <w:rFonts w:hint="eastAsia"/>
                <w:lang w:val="en-US" w:eastAsia="zh-CN"/>
              </w:rPr>
              <w:t>台</w:t>
            </w:r>
          </w:p>
        </w:tc>
      </w:tr>
      <w:tr w14:paraId="42EC6CC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c>
          <w:p w14:paraId="72BBEC26">
            <w:pPr>
              <w:pStyle w:val="29"/>
              <w:jc w:val="left"/>
            </w:pPr>
            <w:r>
              <w:t>配套安装辅材</w:t>
            </w:r>
          </w:p>
        </w:tc>
        <w:tc>
          <w:p w14:paraId="34E39C44">
            <w:pPr>
              <w:pStyle w:val="29"/>
              <w:jc w:val="left"/>
            </w:pPr>
            <w:r>
              <w:t>含符合国标要求的网线、电源线、防水配电箱、定制安装支架、膨胀螺栓等，满足施工要求</w:t>
            </w:r>
          </w:p>
        </w:tc>
        <w:tc>
          <w:p w14:paraId="4F07B1A4">
            <w:pPr>
              <w:pStyle w:val="29"/>
              <w:jc w:val="left"/>
            </w:pPr>
            <w:r>
              <w:t>1</w:t>
            </w:r>
          </w:p>
        </w:tc>
        <w:tc>
          <w:p w14:paraId="5DBCF54A">
            <w:pPr>
              <w:pStyle w:val="29"/>
              <w:jc w:val="left"/>
            </w:pPr>
            <w:r>
              <w:t>批</w:t>
            </w:r>
          </w:p>
        </w:tc>
      </w:tr>
      <w:tr w14:paraId="34B5DA74">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8" w:type="dxa"/>
            <w:bottom w:w="0" w:type="dxa"/>
            <w:right w:w="108" w:type="dxa"/>
          </w:tblCellMar>
        </w:tblPrEx>
        <w:tc>
          <w:p w14:paraId="71E955F3">
            <w:pPr>
              <w:pStyle w:val="29"/>
              <w:jc w:val="left"/>
              <w:rPr>
                <w:rFonts w:hint="default" w:eastAsiaTheme="minorEastAsia"/>
                <w:lang w:val="en-US" w:eastAsia="zh-CN"/>
              </w:rPr>
            </w:pPr>
            <w:r>
              <w:rPr>
                <w:rFonts w:hint="eastAsia"/>
                <w:lang w:val="en-US" w:eastAsia="zh-CN"/>
              </w:rPr>
              <w:t>办公桌椅</w:t>
            </w:r>
          </w:p>
        </w:tc>
        <w:tc>
          <w:p w14:paraId="4F90C0C9">
            <w:pPr>
              <w:pStyle w:val="29"/>
              <w:rPr>
                <w:rFonts w:hint="default" w:eastAsiaTheme="minorEastAsia"/>
                <w:lang w:val="en-US" w:eastAsia="zh-CN"/>
              </w:rPr>
            </w:pPr>
            <w:r>
              <w:rPr>
                <w:rFonts w:hint="eastAsia"/>
                <w:lang w:val="en-US" w:eastAsia="zh-CN"/>
              </w:rPr>
              <w:t>在医院急诊区域内安装存放服务器、显示器的办公桌椅，外观参照其他医院警保执勤岗办公桌样式。</w:t>
            </w:r>
          </w:p>
        </w:tc>
        <w:tc>
          <w:p w14:paraId="70887C9B">
            <w:pPr>
              <w:pStyle w:val="29"/>
              <w:rPr>
                <w:rFonts w:hint="eastAsia" w:eastAsiaTheme="minorEastAsia"/>
                <w:lang w:val="en-US" w:eastAsia="zh-CN"/>
              </w:rPr>
            </w:pPr>
            <w:r>
              <w:rPr>
                <w:rFonts w:hint="eastAsia"/>
                <w:lang w:val="en-US" w:eastAsia="zh-CN"/>
              </w:rPr>
              <w:t>1</w:t>
            </w:r>
          </w:p>
        </w:tc>
        <w:tc>
          <w:p w14:paraId="28CBB07F">
            <w:pPr>
              <w:pStyle w:val="29"/>
              <w:rPr>
                <w:rFonts w:hint="eastAsia" w:eastAsiaTheme="minorEastAsia"/>
                <w:lang w:val="en-US" w:eastAsia="zh-CN"/>
              </w:rPr>
            </w:pPr>
            <w:r>
              <w:rPr>
                <w:rFonts w:hint="eastAsia"/>
                <w:lang w:val="en-US" w:eastAsia="zh-CN"/>
              </w:rPr>
              <w:t>套</w:t>
            </w:r>
          </w:p>
        </w:tc>
      </w:tr>
    </w:tbl>
    <w:p w14:paraId="74345D09">
      <w:r>
        <w:pict>
          <v:rect id="_x0000_i1025" o:spt="1" style="height:1.5pt;width:0pt;" coordsize="21600,21600" o:hr="t" o:hrstd="t" o:hralign="center">
            <v:path/>
            <v:fill focussize="0,0"/>
            <v:stroke/>
            <v:imagedata o:title=""/>
            <o:lock v:ext="edit"/>
            <w10:wrap type="none"/>
            <w10:anchorlock/>
          </v:rect>
        </w:pict>
      </w:r>
    </w:p>
    <w:bookmarkEnd w:id="3"/>
    <w:p w14:paraId="746AD55B">
      <w:pPr>
        <w:pStyle w:val="4"/>
      </w:pPr>
      <w:bookmarkStart w:id="4" w:name="四软件功能要求"/>
      <w:r>
        <w:t>四、软件功能要求</w:t>
      </w:r>
    </w:p>
    <w:p w14:paraId="2A23D401">
      <w:pPr>
        <w:numPr>
          <w:ilvl w:val="0"/>
          <w:numId w:val="0"/>
        </w:numPr>
        <w:ind w:left="240" w:leftChars="0"/>
      </w:pPr>
      <w:bookmarkStart w:id="5" w:name="一基础管理功能"/>
      <w:r>
        <w:rPr>
          <w:rFonts w:hint="eastAsia"/>
          <w:lang w:val="en-US" w:eastAsia="zh-CN"/>
        </w:rPr>
        <w:t>1.</w:t>
      </w:r>
      <w:r>
        <w:t>识别记录存储：所有识别通行记录存储周期不小于</w:t>
      </w:r>
      <w:r>
        <w:rPr>
          <w:rFonts w:hint="eastAsia"/>
          <w:lang w:val="en-US" w:eastAsia="zh-CN"/>
        </w:rPr>
        <w:t>18</w:t>
      </w:r>
      <w:r>
        <w:t>0天，支持按人员、时间、点位多维度检索查询，满足流调溯源需求；</w:t>
      </w:r>
    </w:p>
    <w:bookmarkEnd w:id="5"/>
    <w:p w14:paraId="780CAD4D">
      <w:pPr>
        <w:numPr>
          <w:ilvl w:val="0"/>
          <w:numId w:val="0"/>
        </w:numPr>
        <w:ind w:left="240" w:leftChars="0"/>
        <w:rPr>
          <w:rFonts w:hint="eastAsia"/>
          <w:lang w:eastAsia="zh-CN"/>
        </w:rPr>
      </w:pPr>
      <w:bookmarkStart w:id="6" w:name="二医院场景专属功能"/>
      <w:r>
        <w:rPr>
          <w:rFonts w:hint="eastAsia"/>
          <w:b w:val="0"/>
          <w:bCs w:val="0"/>
          <w:lang w:val="en-US" w:eastAsia="zh-CN"/>
        </w:rPr>
        <w:t>2.</w:t>
      </w:r>
      <w:r>
        <w:rPr>
          <w:b w:val="0"/>
          <w:bCs w:val="0"/>
        </w:rPr>
        <w:t>重点人员预警：</w:t>
      </w:r>
      <w:r>
        <w:t>可录入黑名单人员信息，识别到重点人员后立即向保卫科管理人员手机端、</w:t>
      </w:r>
      <w:r>
        <w:rPr>
          <w:rFonts w:hint="eastAsia"/>
          <w:lang w:val="en-US" w:eastAsia="zh-CN"/>
        </w:rPr>
        <w:t>服务器显示器</w:t>
      </w:r>
      <w:r>
        <w:t>推送告警信息，支持声光告警</w:t>
      </w:r>
      <w:r>
        <w:rPr>
          <w:rFonts w:hint="eastAsia"/>
          <w:lang w:eastAsia="zh-CN"/>
        </w:rPr>
        <w:t>。</w:t>
      </w:r>
    </w:p>
    <w:bookmarkEnd w:id="4"/>
    <w:bookmarkEnd w:id="6"/>
    <w:p w14:paraId="23B2AAD0">
      <w:pPr>
        <w:pStyle w:val="4"/>
      </w:pPr>
      <w:bookmarkStart w:id="7" w:name="五施工安装与调试要求"/>
      <w:r>
        <w:t>五、施工安装与调试要求</w:t>
      </w:r>
    </w:p>
    <w:p w14:paraId="5DFD0998">
      <w:pPr>
        <w:numPr>
          <w:ilvl w:val="0"/>
          <w:numId w:val="3"/>
        </w:numPr>
      </w:pPr>
      <w:r>
        <w:t>中标供应商</w:t>
      </w:r>
      <w:r>
        <w:rPr>
          <w:rFonts w:hint="eastAsia"/>
          <w:lang w:val="en-US" w:eastAsia="zh-CN"/>
        </w:rPr>
        <w:t>需在中标后5天内完成</w:t>
      </w:r>
      <w:r>
        <w:t>整套系统的运输、点位勘测、方案设计、布线施工、安装调试，所有相关费用包含在投标报价中，采购人不额外支付费用；</w:t>
      </w:r>
    </w:p>
    <w:p w14:paraId="2A0ED0EC">
      <w:pPr>
        <w:numPr>
          <w:ilvl w:val="0"/>
          <w:numId w:val="3"/>
        </w:numPr>
      </w:pPr>
      <w:r>
        <w:t>施工前需根据医院各点位现场情况出具详细施工方案，明确布线走向、施工时间（需配合医院错峰施工，不得影响正常诊疗秩序）、安全防护措施，经医院后勤、保卫部门确认后方可进场；</w:t>
      </w:r>
    </w:p>
    <w:p w14:paraId="20398D8C">
      <w:pPr>
        <w:numPr>
          <w:ilvl w:val="0"/>
          <w:numId w:val="3"/>
        </w:numPr>
      </w:pPr>
      <w:r>
        <w:t>施工过程中需做好现场防护，避免破坏医院现有装修、管线，施工垃圾每日清理，施工结束后做到场地清洁；</w:t>
      </w:r>
    </w:p>
    <w:p w14:paraId="3FB318FB">
      <w:pPr>
        <w:numPr>
          <w:ilvl w:val="0"/>
          <w:numId w:val="3"/>
        </w:numPr>
      </w:pPr>
      <w:r>
        <w:t>安装调试完成后，需进行连续7天试运行，试运行期间所有点位运行稳定、功能满足需求后方可申请验收。</w:t>
      </w:r>
    </w:p>
    <w:bookmarkEnd w:id="7"/>
    <w:p w14:paraId="292B557C">
      <w:pPr>
        <w:pStyle w:val="4"/>
      </w:pPr>
      <w:bookmarkStart w:id="8" w:name="六售后服务要求"/>
      <w:r>
        <w:t>六、售后服务要求</w:t>
      </w:r>
    </w:p>
    <w:p w14:paraId="6DE31C14">
      <w:pPr>
        <w:numPr>
          <w:ilvl w:val="0"/>
          <w:numId w:val="4"/>
        </w:numPr>
      </w:pPr>
      <w:r>
        <w:t>质保期：整套系统提供不少于</w:t>
      </w:r>
      <w:r>
        <w:rPr>
          <w:rFonts w:hint="eastAsia"/>
          <w:lang w:val="en-US" w:eastAsia="zh-CN"/>
        </w:rPr>
        <w:t>5</w:t>
      </w:r>
      <w:r>
        <w:t>年的质保，质保期从项目最终验收合格之日起计算；</w:t>
      </w:r>
    </w:p>
    <w:p w14:paraId="58307814">
      <w:pPr>
        <w:numPr>
          <w:ilvl w:val="0"/>
          <w:numId w:val="4"/>
        </w:numPr>
      </w:pPr>
      <w:r>
        <w:t>响应要求：医院属于特殊场所，接到故障报修后15分钟内远程响应，2小时内到达现场处理，一般故障4小时内排除，重大故障无法即时解决的，需立即提供备用终端保障系统正常运行；</w:t>
      </w:r>
    </w:p>
    <w:p w14:paraId="62EF3631">
      <w:pPr>
        <w:numPr>
          <w:ilvl w:val="0"/>
          <w:numId w:val="4"/>
        </w:numPr>
      </w:pPr>
      <w:r>
        <w:t>培训服务：为医院保卫科、信息科、相关使用部门提供操作培训、日常维护培训，培训覆盖所有相关管理人员，出具纸质培训手册；</w:t>
      </w:r>
    </w:p>
    <w:p w14:paraId="6C7F081F">
      <w:pPr>
        <w:numPr>
          <w:ilvl w:val="0"/>
          <w:numId w:val="4"/>
        </w:numPr>
      </w:pPr>
      <w:r>
        <w:t>升级服务：</w:t>
      </w:r>
      <w:r>
        <w:rPr>
          <w:rFonts w:hint="eastAsia"/>
          <w:lang w:val="en-US" w:eastAsia="zh-CN"/>
        </w:rPr>
        <w:t>本次报价包含</w:t>
      </w:r>
      <w:r>
        <w:t>质保期内系统软件升级、bug修复服务，</w:t>
      </w:r>
      <w:bookmarkStart w:id="12" w:name="_GoBack"/>
      <w:bookmarkEnd w:id="12"/>
      <w:r>
        <w:t>终身提供成本价的硬件配件更换维修服务；</w:t>
      </w:r>
    </w:p>
    <w:p w14:paraId="4F7C75D2">
      <w:pPr>
        <w:numPr>
          <w:ilvl w:val="0"/>
          <w:numId w:val="4"/>
        </w:numPr>
      </w:pPr>
      <w:r>
        <w:t>数据安全服务：每年提供1次人脸数据安全检测，排查数据泄露风险。</w:t>
      </w:r>
    </w:p>
    <w:bookmarkEnd w:id="8"/>
    <w:p w14:paraId="4430C717">
      <w:pPr>
        <w:pStyle w:val="4"/>
      </w:pPr>
      <w:bookmarkStart w:id="9" w:name="七验收标准"/>
      <w:r>
        <w:t>七、验收标准</w:t>
      </w:r>
    </w:p>
    <w:p w14:paraId="60A84CB7">
      <w:pPr>
        <w:numPr>
          <w:ilvl w:val="0"/>
          <w:numId w:val="5"/>
        </w:numPr>
      </w:pPr>
      <w:r>
        <w:t>所有设备均为原厂全新合格产品，提供原厂出厂合格证、质检报告，符合国家相关质量、安全标准；</w:t>
      </w:r>
    </w:p>
    <w:p w14:paraId="1F252252">
      <w:pPr>
        <w:numPr>
          <w:ilvl w:val="0"/>
          <w:numId w:val="5"/>
        </w:numPr>
      </w:pPr>
      <w:r>
        <w:t>所有功能满足本招标需求要求，戴口罩场景识别准确率≥98%，单终端响应时间≤0.3秒，试运行无故障；</w:t>
      </w:r>
    </w:p>
    <w:p w14:paraId="26FB3A2E">
      <w:pPr>
        <w:numPr>
          <w:ilvl w:val="0"/>
          <w:numId w:val="5"/>
        </w:numPr>
      </w:pPr>
      <w:r>
        <w:t>提供完整的验收资料：包含施工竣工图纸、设备说明书、保修卡、系统操作手册、第三方检测报告（如有要求）。</w:t>
      </w:r>
    </w:p>
    <w:bookmarkEnd w:id="9"/>
    <w:p w14:paraId="07414F94">
      <w:pPr>
        <w:pStyle w:val="4"/>
        <w:rPr>
          <w:rFonts w:hint="default" w:eastAsiaTheme="majorEastAsia"/>
          <w:lang w:val="en-US" w:eastAsia="zh-CN"/>
        </w:rPr>
      </w:pPr>
      <w:bookmarkStart w:id="10" w:name="八投标供应商资质要求"/>
      <w:r>
        <w:t>八、</w:t>
      </w:r>
      <w:r>
        <w:rPr>
          <w:rFonts w:hint="eastAsia"/>
          <w:lang w:val="en-US" w:eastAsia="zh-CN"/>
        </w:rPr>
        <w:t>付款方式</w:t>
      </w:r>
    </w:p>
    <w:p w14:paraId="71C23A95">
      <w:pPr>
        <w:ind w:firstLine="720" w:firstLineChars="300"/>
        <w:rPr>
          <w:rFonts w:hint="eastAsia"/>
          <w:lang w:eastAsia="zh-CN"/>
        </w:rPr>
      </w:pPr>
      <w:r>
        <w:rPr>
          <w:rFonts w:hint="eastAsia"/>
          <w:lang w:eastAsia="zh-CN"/>
        </w:rPr>
        <w:t>设备</w:t>
      </w:r>
      <w:r>
        <w:rPr>
          <w:rFonts w:hint="eastAsia"/>
        </w:rPr>
        <w:t>安装</w:t>
      </w:r>
      <w:r>
        <w:rPr>
          <w:rFonts w:hint="eastAsia"/>
          <w:lang w:eastAsia="zh-CN"/>
        </w:rPr>
        <w:t>调试</w:t>
      </w:r>
      <w:r>
        <w:rPr>
          <w:rFonts w:hint="eastAsia"/>
        </w:rPr>
        <w:t>完毕</w:t>
      </w:r>
      <w:r>
        <w:rPr>
          <w:rFonts w:hint="eastAsia"/>
          <w:lang w:eastAsia="zh-CN"/>
        </w:rPr>
        <w:t>，验收合格并开具发票后一次性付清。</w:t>
      </w:r>
    </w:p>
    <w:p w14:paraId="15EBF214">
      <w:pPr>
        <w:pStyle w:val="4"/>
      </w:pPr>
      <w:r>
        <w:rPr>
          <w:rFonts w:hint="eastAsia"/>
          <w:lang w:val="en-US" w:eastAsia="zh-CN"/>
        </w:rPr>
        <w:t>九</w:t>
      </w:r>
      <w:r>
        <w:t>、投标供应商资质要求</w:t>
      </w:r>
    </w:p>
    <w:p w14:paraId="5C5A72C7">
      <w:pPr>
        <w:numPr>
          <w:ilvl w:val="0"/>
          <w:numId w:val="6"/>
        </w:numPr>
        <w:rPr>
          <w:rFonts w:hint="eastAsia"/>
        </w:rPr>
      </w:pPr>
      <w:r>
        <w:rPr>
          <w:rFonts w:hint="eastAsia"/>
        </w:rPr>
        <w:t>供应商应为国内注册(指按国家工商管理有关规定要求核准登记的经营范围达到本次采购货物及服务要求，具有合法资格的供应商。</w:t>
      </w:r>
    </w:p>
    <w:p w14:paraId="52F7A65F">
      <w:pPr>
        <w:numPr>
          <w:ilvl w:val="0"/>
          <w:numId w:val="6"/>
        </w:numPr>
      </w:pPr>
      <w:bookmarkStart w:id="11" w:name="_Toc444873165"/>
      <w:r>
        <w:rPr>
          <w:rFonts w:hint="eastAsia"/>
        </w:rPr>
        <w:t>成交供应商所提供的商品不能是假冒伪劣及三无产品</w:t>
      </w:r>
      <w:bookmarkEnd w:id="11"/>
      <w:r>
        <w:rPr>
          <w:rFonts w:hint="eastAsia"/>
        </w:rPr>
        <w:t>。</w:t>
      </w:r>
      <w:r>
        <w:t>所投人脸识别终端设备厂商具备ISO信息安全认证，产品具备国家安全防范报警系统产品质量监督检测中心出具的合格检测报告。</w:t>
      </w:r>
    </w:p>
    <w:p w14:paraId="4972301F">
      <w:pPr>
        <w:numPr>
          <w:ilvl w:val="0"/>
          <w:numId w:val="6"/>
        </w:numPr>
      </w:pPr>
      <w:r>
        <w:rPr>
          <w:rFonts w:hint="eastAsia"/>
        </w:rPr>
        <w:t>各供应商在投标前对不明确的内容</w:t>
      </w:r>
      <w:r>
        <w:rPr>
          <w:rFonts w:hint="eastAsia"/>
          <w:lang w:val="en-US" w:eastAsia="zh-CN"/>
        </w:rPr>
        <w:t>可</w:t>
      </w:r>
      <w:r>
        <w:rPr>
          <w:rFonts w:hint="eastAsia"/>
        </w:rPr>
        <w:t>与</w:t>
      </w:r>
      <w:r>
        <w:rPr>
          <w:rFonts w:hint="eastAsia"/>
          <w:lang w:val="en-US" w:eastAsia="zh-CN"/>
        </w:rPr>
        <w:t>安全保卫科</w:t>
      </w:r>
      <w:r>
        <w:rPr>
          <w:rFonts w:hint="eastAsia"/>
        </w:rPr>
        <w:t>联系。</w:t>
      </w:r>
    </w:p>
    <w:p w14:paraId="153D0764">
      <w:pPr>
        <w:numPr>
          <w:ilvl w:val="0"/>
          <w:numId w:val="6"/>
        </w:numPr>
        <w:rPr>
          <w:rFonts w:hint="eastAsia"/>
        </w:rPr>
      </w:pPr>
      <w:r>
        <w:rPr>
          <w:rFonts w:hint="eastAsia"/>
        </w:rPr>
        <w:t>对在“信用中国”网站等渠道列入失信被执行人、重大税收违法案件当事人名单、政府采购严重违法失信行为记录名单及其他不符合相关法律法规规定条件的供应商，不得参与本项目采购活动。</w:t>
      </w:r>
    </w:p>
    <w:p w14:paraId="1F9EB3A4">
      <w:pPr>
        <w:numPr>
          <w:ilvl w:val="0"/>
          <w:numId w:val="6"/>
        </w:numPr>
        <w:rPr>
          <w:rFonts w:hint="eastAsia"/>
          <w:lang w:val="en-US" w:eastAsia="zh-CN"/>
        </w:rPr>
      </w:pPr>
      <w:r>
        <w:rPr>
          <w:rFonts w:hint="eastAsia"/>
          <w:lang w:val="en-US" w:eastAsia="zh-CN"/>
        </w:rPr>
        <w:t>供应商三年内在经营活动中没有因经营受到刑事处罚或者责令停产停业、吊销许可证或者执照、较大数额罚款等行政处罚的重大违法记录，符合《中华人民共和国政府采购法》及《中华人民共和国政府采购实施条例》规定。</w:t>
      </w:r>
    </w:p>
    <w:p w14:paraId="5AEC5CAE">
      <w:pPr>
        <w:pStyle w:val="28"/>
      </w:pPr>
    </w:p>
    <w:bookmarkEnd w:id="0"/>
    <w:bookmarkEnd w:id="10"/>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5F2E52"/>
    <w:multiLevelType w:val="multilevel"/>
    <w:tmpl w:val="9A5F2E52"/>
    <w:lvl w:ilvl="0" w:tentative="0">
      <w:start w:val="1"/>
      <w:numFmt w:val="decimal"/>
      <w:lvlText w:val="%1."/>
      <w:lvlJc w:val="left"/>
      <w:pPr>
        <w:ind w:left="720" w:hanging="480"/>
      </w:pPr>
    </w:lvl>
    <w:lvl w:ilvl="1" w:tentative="0">
      <w:start w:val="1"/>
      <w:numFmt w:val="decimal"/>
      <w:lvlText w:val="%2."/>
      <w:lvlJc w:val="left"/>
      <w:pPr>
        <w:ind w:left="1440" w:hanging="480"/>
      </w:pPr>
    </w:lvl>
    <w:lvl w:ilvl="2" w:tentative="0">
      <w:start w:val="1"/>
      <w:numFmt w:val="decimal"/>
      <w:lvlText w:val="%3."/>
      <w:lvlJc w:val="left"/>
      <w:pPr>
        <w:ind w:left="2160" w:hanging="480"/>
      </w:pPr>
    </w:lvl>
    <w:lvl w:ilvl="3" w:tentative="0">
      <w:start w:val="1"/>
      <w:numFmt w:val="decimal"/>
      <w:lvlText w:val="%4."/>
      <w:lvlJc w:val="left"/>
      <w:pPr>
        <w:ind w:left="2880" w:hanging="480"/>
      </w:pPr>
    </w:lvl>
    <w:lvl w:ilvl="4" w:tentative="0">
      <w:start w:val="1"/>
      <w:numFmt w:val="decimal"/>
      <w:lvlText w:val="%5."/>
      <w:lvlJc w:val="left"/>
      <w:pPr>
        <w:ind w:left="3600" w:hanging="480"/>
      </w:pPr>
    </w:lvl>
    <w:lvl w:ilvl="5" w:tentative="0">
      <w:start w:val="1"/>
      <w:numFmt w:val="decimal"/>
      <w:lvlText w:val="%6."/>
      <w:lvlJc w:val="left"/>
      <w:pPr>
        <w:ind w:left="4320" w:hanging="480"/>
      </w:pPr>
    </w:lvl>
    <w:lvl w:ilvl="6" w:tentative="0">
      <w:start w:val="1"/>
      <w:numFmt w:val="decimal"/>
      <w:lvlText w:val="%7."/>
      <w:lvlJc w:val="left"/>
      <w:pPr>
        <w:ind w:left="5040" w:hanging="480"/>
      </w:pPr>
    </w:lvl>
    <w:lvl w:ilvl="7" w:tentative="0">
      <w:start w:val="1"/>
      <w:numFmt w:val="decimal"/>
      <w:lvlText w:val="%8."/>
      <w:lvlJc w:val="left"/>
      <w:pPr>
        <w:ind w:left="5760" w:hanging="480"/>
      </w:pPr>
    </w:lvl>
    <w:lvl w:ilvl="8" w:tentative="0">
      <w:start w:val="1"/>
      <w:numFmt w:val="decimal"/>
      <w:lvlText w:val="%9."/>
      <w:lvlJc w:val="left"/>
      <w:pPr>
        <w:ind w:left="6480" w:hanging="480"/>
      </w:pPr>
    </w:lvl>
  </w:abstractNum>
  <w:abstractNum w:abstractNumId="1">
    <w:nsid w:val="00A99411"/>
    <w:multiLevelType w:val="multilevel"/>
    <w:tmpl w:val="00A99411"/>
    <w:lvl w:ilvl="0" w:tentative="0">
      <w:start w:val="1"/>
      <w:numFmt w:val="decimal"/>
      <w:lvlText w:val="%1."/>
      <w:lvlJc w:val="left"/>
      <w:pPr>
        <w:ind w:left="720" w:hanging="480"/>
      </w:pPr>
    </w:lvl>
    <w:lvl w:ilvl="1" w:tentative="0">
      <w:start w:val="1"/>
      <w:numFmt w:val="decimal"/>
      <w:lvlText w:val="%2."/>
      <w:lvlJc w:val="left"/>
      <w:pPr>
        <w:ind w:left="1440" w:hanging="480"/>
      </w:pPr>
    </w:lvl>
    <w:lvl w:ilvl="2" w:tentative="0">
      <w:start w:val="1"/>
      <w:numFmt w:val="decimal"/>
      <w:lvlText w:val="%3."/>
      <w:lvlJc w:val="left"/>
      <w:pPr>
        <w:ind w:left="2160" w:hanging="480"/>
      </w:pPr>
    </w:lvl>
    <w:lvl w:ilvl="3" w:tentative="0">
      <w:start w:val="1"/>
      <w:numFmt w:val="decimal"/>
      <w:lvlText w:val="%4."/>
      <w:lvlJc w:val="left"/>
      <w:pPr>
        <w:ind w:left="2880" w:hanging="480"/>
      </w:pPr>
    </w:lvl>
    <w:lvl w:ilvl="4" w:tentative="0">
      <w:start w:val="1"/>
      <w:numFmt w:val="decimal"/>
      <w:lvlText w:val="%5."/>
      <w:lvlJc w:val="left"/>
      <w:pPr>
        <w:ind w:left="3600" w:hanging="480"/>
      </w:pPr>
    </w:lvl>
    <w:lvl w:ilvl="5" w:tentative="0">
      <w:start w:val="1"/>
      <w:numFmt w:val="decimal"/>
      <w:lvlText w:val="%6."/>
      <w:lvlJc w:val="left"/>
      <w:pPr>
        <w:ind w:left="4320" w:hanging="480"/>
      </w:pPr>
    </w:lvl>
    <w:lvl w:ilvl="6" w:tentative="0">
      <w:start w:val="1"/>
      <w:numFmt w:val="decimal"/>
      <w:lvlText w:val="%7."/>
      <w:lvlJc w:val="left"/>
      <w:pPr>
        <w:ind w:left="5040" w:hanging="480"/>
      </w:pPr>
    </w:lvl>
    <w:lvl w:ilvl="7" w:tentative="0">
      <w:start w:val="1"/>
      <w:numFmt w:val="decimal"/>
      <w:lvlText w:val="%8."/>
      <w:lvlJc w:val="left"/>
      <w:pPr>
        <w:ind w:left="5760" w:hanging="480"/>
      </w:pPr>
    </w:lvl>
    <w:lvl w:ilvl="8" w:tentative="0">
      <w:start w:val="1"/>
      <w:numFmt w:val="decimal"/>
      <w:lvlText w:val="%9."/>
      <w:lvlJc w:val="left"/>
      <w:pPr>
        <w:ind w:left="648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663FD1"/>
    <w:rsid w:val="3871544E"/>
    <w:rsid w:val="43486595"/>
    <w:rsid w:val="66C572DC"/>
    <w:rsid w:val="78720A6C"/>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qFormat="1" w:uiPriority="0" w:semiHidden="0" w:name="header"/>
    <w:lsdException w:qFormat="1"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nhideWhenUsed="0" w:uiPriority="0" w:semiHidden="0" w:name="List Number 2"/>
    <w:lsdException w:uiPriority="0" w:name="List Number 3"/>
    <w:lsdException w:uiPriority="0" w:name="List Number 4"/>
    <w:lsdException w:unhideWhenUsed="0" w:uiPriority="0" w:semiHidden="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000000" w:themeColor="text1"/>
      <w:sz w:val="32"/>
      <w:szCs w:val="32"/>
      <w14:textFill>
        <w14:solidFill>
          <w14:schemeClr w14:val="tx1"/>
        </w14:solidFill>
      </w14:textFill>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000000" w:themeColor="text1"/>
      <w:sz w:val="28"/>
      <w:szCs w:val="28"/>
      <w14:textFill>
        <w14:solidFill>
          <w14:schemeClr w14:val="tx1"/>
        </w14:solidFill>
      </w14:textFill>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000000" w:themeColor="text1"/>
      <w14:textFill>
        <w14:solidFill>
          <w14:schemeClr w14:val="tx1"/>
        </w14:solidFill>
      </w14:textFill>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000000" w:themeColor="text1"/>
      <w14:textFill>
        <w14:solidFill>
          <w14:schemeClr w14:val="tx1"/>
        </w14:solidFill>
      </w14:textFill>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Cs/>
      <w:color w:val="000000" w:themeColor="text1"/>
      <w14:textFill>
        <w14:solidFill>
          <w14:schemeClr w14:val="tx1"/>
        </w14:solidFill>
      </w14:textFill>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000000" w:themeColor="text1"/>
      <w14:textFill>
        <w14:solidFill>
          <w14:schemeClr w14:val="tx1"/>
        </w14:solidFill>
      </w14:textFill>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000000" w:themeColor="text1"/>
      <w14:textFill>
        <w14:solidFill>
          <w14:schemeClr w14:val="tx1"/>
        </w14:solidFill>
      </w14:textFill>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000000" w:themeColor="text1"/>
      <w14:textFill>
        <w14:solidFill>
          <w14:schemeClr w14:val="tx1"/>
        </w14:solidFill>
      </w14:textFill>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000000" w:themeColor="text1"/>
      <w14:textFill>
        <w14:solidFill>
          <w14:schemeClr w14:val="tx1"/>
        </w14:solidFill>
      </w14:textFill>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180" w:after="180"/>
      <w:textAlignment w:val="center"/>
    </w:pPr>
  </w:style>
  <w:style w:type="paragraph" w:styleId="12">
    <w:name w:val="caption"/>
    <w:basedOn w:val="1"/>
    <w:link w:val="26"/>
    <w:qFormat/>
    <w:uiPriority w:val="0"/>
    <w:pPr>
      <w:spacing w:after="120"/>
    </w:pPr>
    <w:rPr>
      <w:i/>
    </w:rPr>
  </w:style>
  <w:style w:type="paragraph" w:styleId="13">
    <w:name w:val="Body Text Indent"/>
    <w:basedOn w:val="1"/>
    <w:qFormat/>
    <w:uiPriority w:val="99"/>
    <w:pPr>
      <w:spacing w:line="480" w:lineRule="exact"/>
      <w:ind w:firstLine="538" w:firstLineChars="192"/>
      <w:jc w:val="left"/>
    </w:pPr>
    <w:rPr>
      <w:rFonts w:cs="Times New Roman"/>
      <w:sz w:val="24"/>
      <w:szCs w:val="24"/>
    </w:rPr>
  </w:style>
  <w:style w:type="paragraph" w:styleId="14">
    <w:name w:val="Block Text"/>
    <w:basedOn w:val="3"/>
    <w:next w:val="3"/>
    <w:unhideWhenUsed/>
    <w:qFormat/>
    <w:uiPriority w:val="9"/>
    <w:pPr>
      <w:spacing w:before="100" w:after="100"/>
      <w:ind w:left="480" w:right="480"/>
    </w:pPr>
  </w:style>
  <w:style w:type="paragraph" w:styleId="15">
    <w:name w:val="Date"/>
    <w:next w:val="3"/>
    <w:qFormat/>
    <w:uiPriority w:val="0"/>
    <w:pPr>
      <w:keepNext/>
      <w:keepLines/>
      <w:spacing w:after="200"/>
      <w:jc w:val="center"/>
    </w:pPr>
    <w:rPr>
      <w:rFonts w:asciiTheme="minorHAnsi" w:hAnsiTheme="minorHAnsi" w:eastAsiaTheme="minorEastAsia" w:cstheme="minorBidi"/>
      <w:sz w:val="24"/>
      <w:szCs w:val="24"/>
      <w:lang w:val="en-US" w:eastAsia="en-US" w:bidi="ar-SA"/>
    </w:rPr>
  </w:style>
  <w:style w:type="paragraph" w:styleId="16">
    <w:name w:val="footer"/>
    <w:basedOn w:val="1"/>
    <w:link w:val="78"/>
    <w:unhideWhenUsed/>
    <w:qFormat/>
    <w:uiPriority w:val="0"/>
    <w:pPr>
      <w:tabs>
        <w:tab w:val="center" w:pos="4153"/>
        <w:tab w:val="right" w:pos="8306"/>
      </w:tabs>
      <w:snapToGrid w:val="0"/>
    </w:pPr>
    <w:rPr>
      <w:sz w:val="18"/>
      <w:szCs w:val="18"/>
    </w:rPr>
  </w:style>
  <w:style w:type="paragraph" w:styleId="17">
    <w:name w:val="header"/>
    <w:basedOn w:val="1"/>
    <w:link w:val="77"/>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rPr>
      <w:rFonts w:ascii="宋体" w:hAnsi="Times New Roman" w:eastAsia="宋体" w:cs="Times New Roman"/>
      <w:bCs/>
      <w:sz w:val="28"/>
      <w:szCs w:val="24"/>
    </w:rPr>
  </w:style>
  <w:style w:type="paragraph" w:styleId="19">
    <w:name w:val="Subtitle"/>
    <w:basedOn w:val="20"/>
    <w:next w:val="3"/>
    <w:qFormat/>
    <w:uiPriority w:val="0"/>
    <w:pPr>
      <w:spacing w:before="240"/>
    </w:pPr>
    <w:rPr>
      <w:sz w:val="30"/>
      <w:szCs w:val="30"/>
    </w:rPr>
  </w:style>
  <w:style w:type="paragraph" w:styleId="20">
    <w:name w:val="Title"/>
    <w:basedOn w:val="1"/>
    <w:next w:val="3"/>
    <w:qFormat/>
    <w:uiPriority w:val="0"/>
    <w:pPr>
      <w:keepNext/>
      <w:keepLines/>
      <w:spacing w:before="480" w:after="240"/>
      <w:jc w:val="center"/>
    </w:pPr>
    <w:rPr>
      <w:rFonts w:asciiTheme="majorHAnsi" w:hAnsiTheme="majorHAnsi" w:eastAsiaTheme="majorEastAsia" w:cstheme="majorBidi"/>
      <w:b/>
      <w:bCs/>
      <w:color w:val="345B8A" w:themeColor="accent1" w:themeShade="B5"/>
      <w:sz w:val="36"/>
      <w:szCs w:val="36"/>
    </w:rPr>
  </w:style>
  <w:style w:type="paragraph" w:styleId="21">
    <w:name w:val="footnote text"/>
    <w:basedOn w:val="1"/>
    <w:unhideWhenUsed/>
    <w:qFormat/>
    <w:uiPriority w:val="9"/>
  </w:style>
  <w:style w:type="paragraph" w:styleId="22">
    <w:name w:val="Body Text First Indent 2"/>
    <w:basedOn w:val="13"/>
    <w:qFormat/>
    <w:uiPriority w:val="0"/>
    <w:pPr>
      <w:ind w:firstLine="420" w:firstLineChars="200"/>
    </w:pPr>
    <w:rPr>
      <w:sz w:val="28"/>
    </w:rPr>
  </w:style>
  <w:style w:type="character" w:styleId="25">
    <w:name w:val="Hyperlink"/>
    <w:basedOn w:val="26"/>
    <w:qFormat/>
    <w:uiPriority w:val="0"/>
    <w:rPr>
      <w:color w:val="4F81BD" w:themeColor="accent1"/>
      <w14:textFill>
        <w14:solidFill>
          <w14:schemeClr w14:val="accent1"/>
        </w14:solidFill>
      </w14:textFill>
    </w:rPr>
  </w:style>
  <w:style w:type="character" w:customStyle="1" w:styleId="26">
    <w:name w:val="题注 字符"/>
    <w:basedOn w:val="24"/>
    <w:link w:val="12"/>
    <w:qFormat/>
    <w:uiPriority w:val="0"/>
  </w:style>
  <w:style w:type="character" w:styleId="27">
    <w:name w:val="footnote reference"/>
    <w:basedOn w:val="26"/>
    <w:uiPriority w:val="0"/>
    <w:rPr>
      <w:vertAlign w:val="superscript"/>
    </w:rPr>
  </w:style>
  <w:style w:type="paragraph" w:customStyle="1" w:styleId="28">
    <w:name w:val="First Paragraph"/>
    <w:basedOn w:val="3"/>
    <w:next w:val="3"/>
    <w:qFormat/>
    <w:uiPriority w:val="0"/>
  </w:style>
  <w:style w:type="paragraph" w:customStyle="1" w:styleId="29">
    <w:name w:val="Compact"/>
    <w:basedOn w:val="3"/>
    <w:qFormat/>
    <w:uiPriority w:val="0"/>
    <w:pPr>
      <w:spacing w:before="36" w:after="36"/>
    </w:pPr>
  </w:style>
  <w:style w:type="paragraph" w:customStyle="1" w:styleId="30">
    <w:name w:val="Author"/>
    <w:next w:val="3"/>
    <w:qFormat/>
    <w:uiPriority w:val="0"/>
    <w:pPr>
      <w:keepNext/>
      <w:keepLines/>
      <w:spacing w:after="200"/>
      <w:jc w:val="center"/>
    </w:pPr>
    <w:rPr>
      <w:rFonts w:asciiTheme="minorHAnsi" w:hAnsiTheme="minorHAnsi" w:eastAsiaTheme="minorEastAsia" w:cstheme="minorBidi"/>
      <w:sz w:val="24"/>
      <w:szCs w:val="24"/>
      <w:lang w:val="en-US" w:eastAsia="en-US" w:bidi="ar-SA"/>
    </w:rPr>
  </w:style>
  <w:style w:type="paragraph" w:customStyle="1" w:styleId="31">
    <w:name w:val="Abstract Title"/>
    <w:basedOn w:val="1"/>
    <w:next w:val="32"/>
    <w:qFormat/>
    <w:uiPriority w:val="0"/>
    <w:pPr>
      <w:keepNext/>
      <w:keepLines/>
      <w:spacing w:before="300" w:after="0"/>
      <w:jc w:val="center"/>
    </w:pPr>
    <w:rPr>
      <w:b/>
      <w:color w:val="345A8A"/>
      <w:sz w:val="20"/>
      <w:szCs w:val="20"/>
    </w:rPr>
  </w:style>
  <w:style w:type="paragraph" w:customStyle="1" w:styleId="32">
    <w:name w:val="Abstract"/>
    <w:basedOn w:val="1"/>
    <w:next w:val="3"/>
    <w:qFormat/>
    <w:uiPriority w:val="0"/>
    <w:pPr>
      <w:keepNext/>
      <w:keepLines/>
      <w:spacing w:before="100" w:after="300"/>
    </w:pPr>
    <w:rPr>
      <w:sz w:val="20"/>
      <w:szCs w:val="20"/>
    </w:rPr>
  </w:style>
  <w:style w:type="paragraph" w:customStyle="1" w:styleId="33">
    <w:name w:val="Bibliography"/>
    <w:basedOn w:val="1"/>
    <w:qFormat/>
    <w:uiPriority w:val="0"/>
  </w:style>
  <w:style w:type="table" w:customStyle="1" w:styleId="34">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35">
    <w:name w:val="Definition Term"/>
    <w:basedOn w:val="1"/>
    <w:next w:val="36"/>
    <w:qFormat/>
    <w:uiPriority w:val="0"/>
    <w:pPr>
      <w:keepNext/>
      <w:keepLines/>
      <w:spacing w:after="0"/>
    </w:pPr>
    <w:rPr>
      <w:b/>
    </w:rPr>
  </w:style>
  <w:style w:type="paragraph" w:customStyle="1" w:styleId="36">
    <w:name w:val="Definition"/>
    <w:basedOn w:val="1"/>
    <w:qFormat/>
    <w:uiPriority w:val="0"/>
  </w:style>
  <w:style w:type="paragraph" w:customStyle="1" w:styleId="37">
    <w:name w:val="Table Caption"/>
    <w:basedOn w:val="12"/>
    <w:qFormat/>
    <w:uiPriority w:val="0"/>
    <w:pPr>
      <w:keepNext/>
    </w:pPr>
  </w:style>
  <w:style w:type="paragraph" w:customStyle="1" w:styleId="38">
    <w:name w:val="Image Caption"/>
    <w:basedOn w:val="12"/>
    <w:qFormat/>
    <w:uiPriority w:val="0"/>
  </w:style>
  <w:style w:type="paragraph" w:customStyle="1" w:styleId="39">
    <w:name w:val="Figure"/>
    <w:basedOn w:val="1"/>
    <w:qFormat/>
    <w:uiPriority w:val="0"/>
  </w:style>
  <w:style w:type="paragraph" w:customStyle="1" w:styleId="40">
    <w:name w:val="Captioned Figure"/>
    <w:basedOn w:val="39"/>
    <w:qFormat/>
    <w:uiPriority w:val="0"/>
    <w:pPr>
      <w:keepNext/>
    </w:pPr>
  </w:style>
  <w:style w:type="character" w:customStyle="1" w:styleId="41">
    <w:name w:val="Verbatim Char"/>
    <w:basedOn w:val="26"/>
    <w:link w:val="42"/>
    <w:qFormat/>
    <w:uiPriority w:val="0"/>
    <w:rPr>
      <w:rFonts w:ascii="Consolas" w:hAnsi="Consolas"/>
      <w:sz w:val="22"/>
    </w:rPr>
  </w:style>
  <w:style w:type="paragraph" w:customStyle="1" w:styleId="42">
    <w:name w:val="Source Code"/>
    <w:basedOn w:val="1"/>
    <w:link w:val="41"/>
    <w:qFormat/>
    <w:uiPriority w:val="0"/>
    <w:pPr>
      <w:wordWrap w:val="0"/>
    </w:pPr>
  </w:style>
  <w:style w:type="character" w:customStyle="1" w:styleId="43">
    <w:name w:val="Section Number"/>
    <w:basedOn w:val="26"/>
    <w:qFormat/>
    <w:uiPriority w:val="0"/>
  </w:style>
  <w:style w:type="paragraph" w:customStyle="1" w:styleId="44">
    <w:name w:val="TOC Heading"/>
    <w:basedOn w:val="2"/>
    <w:next w:val="3"/>
    <w:unhideWhenUsed/>
    <w:qFormat/>
    <w:uiPriority w:val="39"/>
    <w:pPr>
      <w:spacing w:before="240" w:line="259" w:lineRule="auto"/>
      <w:outlineLvl w:val="9"/>
    </w:pPr>
    <w:rPr>
      <w:b w:val="0"/>
      <w:bCs w:val="0"/>
      <w:color w:val="376092" w:themeColor="accent1" w:themeShade="BF"/>
    </w:rPr>
  </w:style>
  <w:style w:type="character" w:customStyle="1" w:styleId="45">
    <w:name w:val="KeywordTok"/>
    <w:basedOn w:val="41"/>
    <w:qFormat/>
    <w:uiPriority w:val="0"/>
    <w:rPr>
      <w:rFonts w:ascii="Consolas" w:hAnsi="Consolas"/>
      <w:b/>
      <w:color w:val="007020"/>
      <w:sz w:val="22"/>
    </w:rPr>
  </w:style>
  <w:style w:type="character" w:customStyle="1" w:styleId="46">
    <w:name w:val="DataTypeTok"/>
    <w:basedOn w:val="41"/>
    <w:qFormat/>
    <w:uiPriority w:val="0"/>
    <w:rPr>
      <w:rFonts w:ascii="Consolas" w:hAnsi="Consolas"/>
      <w:color w:val="902000"/>
      <w:sz w:val="22"/>
    </w:rPr>
  </w:style>
  <w:style w:type="character" w:customStyle="1" w:styleId="47">
    <w:name w:val="DecValTok"/>
    <w:basedOn w:val="41"/>
    <w:qFormat/>
    <w:uiPriority w:val="0"/>
    <w:rPr>
      <w:rFonts w:ascii="Consolas" w:hAnsi="Consolas"/>
      <w:color w:val="40A070"/>
      <w:sz w:val="22"/>
    </w:rPr>
  </w:style>
  <w:style w:type="character" w:customStyle="1" w:styleId="48">
    <w:name w:val="BaseNTok"/>
    <w:basedOn w:val="41"/>
    <w:qFormat/>
    <w:uiPriority w:val="0"/>
    <w:rPr>
      <w:rFonts w:ascii="Consolas" w:hAnsi="Consolas"/>
      <w:color w:val="40A070"/>
      <w:sz w:val="22"/>
    </w:rPr>
  </w:style>
  <w:style w:type="character" w:customStyle="1" w:styleId="49">
    <w:name w:val="FloatTok"/>
    <w:basedOn w:val="41"/>
    <w:qFormat/>
    <w:uiPriority w:val="0"/>
    <w:rPr>
      <w:rFonts w:ascii="Consolas" w:hAnsi="Consolas"/>
      <w:color w:val="40A070"/>
      <w:sz w:val="22"/>
    </w:rPr>
  </w:style>
  <w:style w:type="character" w:customStyle="1" w:styleId="50">
    <w:name w:val="ConstantTok"/>
    <w:basedOn w:val="41"/>
    <w:qFormat/>
    <w:uiPriority w:val="0"/>
    <w:rPr>
      <w:rFonts w:ascii="Consolas" w:hAnsi="Consolas"/>
      <w:color w:val="880000"/>
      <w:sz w:val="22"/>
    </w:rPr>
  </w:style>
  <w:style w:type="character" w:customStyle="1" w:styleId="51">
    <w:name w:val="CharTok"/>
    <w:basedOn w:val="41"/>
    <w:qFormat/>
    <w:uiPriority w:val="0"/>
    <w:rPr>
      <w:rFonts w:ascii="Consolas" w:hAnsi="Consolas"/>
      <w:color w:val="4070A0"/>
      <w:sz w:val="22"/>
    </w:rPr>
  </w:style>
  <w:style w:type="character" w:customStyle="1" w:styleId="52">
    <w:name w:val="SpecialCharTok"/>
    <w:basedOn w:val="41"/>
    <w:qFormat/>
    <w:uiPriority w:val="0"/>
    <w:rPr>
      <w:rFonts w:ascii="Consolas" w:hAnsi="Consolas"/>
      <w:color w:val="4070A0"/>
      <w:sz w:val="22"/>
    </w:rPr>
  </w:style>
  <w:style w:type="character" w:customStyle="1" w:styleId="53">
    <w:name w:val="StringTok"/>
    <w:basedOn w:val="41"/>
    <w:qFormat/>
    <w:uiPriority w:val="0"/>
    <w:rPr>
      <w:rFonts w:ascii="Consolas" w:hAnsi="Consolas"/>
      <w:color w:val="4070A0"/>
      <w:sz w:val="22"/>
    </w:rPr>
  </w:style>
  <w:style w:type="character" w:customStyle="1" w:styleId="54">
    <w:name w:val="VerbatimStringTok"/>
    <w:basedOn w:val="41"/>
    <w:qFormat/>
    <w:uiPriority w:val="0"/>
    <w:rPr>
      <w:rFonts w:ascii="Consolas" w:hAnsi="Consolas"/>
      <w:color w:val="4070A0"/>
      <w:sz w:val="22"/>
    </w:rPr>
  </w:style>
  <w:style w:type="character" w:customStyle="1" w:styleId="55">
    <w:name w:val="SpecialStringTok"/>
    <w:basedOn w:val="41"/>
    <w:qFormat/>
    <w:uiPriority w:val="0"/>
    <w:rPr>
      <w:rFonts w:ascii="Consolas" w:hAnsi="Consolas"/>
      <w:color w:val="BB6688"/>
      <w:sz w:val="22"/>
    </w:rPr>
  </w:style>
  <w:style w:type="character" w:customStyle="1" w:styleId="56">
    <w:name w:val="ImportTok"/>
    <w:basedOn w:val="41"/>
    <w:qFormat/>
    <w:uiPriority w:val="0"/>
    <w:rPr>
      <w:rFonts w:ascii="Consolas" w:hAnsi="Consolas"/>
      <w:b/>
      <w:color w:val="008000"/>
      <w:sz w:val="22"/>
    </w:rPr>
  </w:style>
  <w:style w:type="character" w:customStyle="1" w:styleId="57">
    <w:name w:val="CommentTok"/>
    <w:basedOn w:val="41"/>
    <w:qFormat/>
    <w:uiPriority w:val="0"/>
    <w:rPr>
      <w:rFonts w:ascii="Consolas" w:hAnsi="Consolas"/>
      <w:i/>
      <w:color w:val="60A0B0"/>
      <w:sz w:val="22"/>
    </w:rPr>
  </w:style>
  <w:style w:type="character" w:customStyle="1" w:styleId="58">
    <w:name w:val="DocumentationTok"/>
    <w:basedOn w:val="41"/>
    <w:qFormat/>
    <w:uiPriority w:val="0"/>
    <w:rPr>
      <w:rFonts w:ascii="Consolas" w:hAnsi="Consolas"/>
      <w:i/>
      <w:color w:val="BA2121"/>
      <w:sz w:val="22"/>
    </w:rPr>
  </w:style>
  <w:style w:type="character" w:customStyle="1" w:styleId="59">
    <w:name w:val="AnnotationTok"/>
    <w:basedOn w:val="41"/>
    <w:qFormat/>
    <w:uiPriority w:val="0"/>
    <w:rPr>
      <w:rFonts w:ascii="Consolas" w:hAnsi="Consolas"/>
      <w:b/>
      <w:i/>
      <w:color w:val="60A0B0"/>
      <w:sz w:val="22"/>
    </w:rPr>
  </w:style>
  <w:style w:type="character" w:customStyle="1" w:styleId="60">
    <w:name w:val="CommentVarTok"/>
    <w:basedOn w:val="41"/>
    <w:qFormat/>
    <w:uiPriority w:val="0"/>
    <w:rPr>
      <w:rFonts w:ascii="Consolas" w:hAnsi="Consolas"/>
      <w:b/>
      <w:i/>
      <w:color w:val="60A0B0"/>
      <w:sz w:val="22"/>
    </w:rPr>
  </w:style>
  <w:style w:type="character" w:customStyle="1" w:styleId="61">
    <w:name w:val="OtherTok"/>
    <w:basedOn w:val="41"/>
    <w:qFormat/>
    <w:uiPriority w:val="0"/>
    <w:rPr>
      <w:rFonts w:ascii="Consolas" w:hAnsi="Consolas"/>
      <w:color w:val="007020"/>
      <w:sz w:val="22"/>
    </w:rPr>
  </w:style>
  <w:style w:type="character" w:customStyle="1" w:styleId="62">
    <w:name w:val="FunctionTok"/>
    <w:basedOn w:val="41"/>
    <w:qFormat/>
    <w:uiPriority w:val="0"/>
    <w:rPr>
      <w:rFonts w:ascii="Consolas" w:hAnsi="Consolas"/>
      <w:color w:val="06287E"/>
      <w:sz w:val="22"/>
    </w:rPr>
  </w:style>
  <w:style w:type="character" w:customStyle="1" w:styleId="63">
    <w:name w:val="VariableTok"/>
    <w:basedOn w:val="41"/>
    <w:qFormat/>
    <w:uiPriority w:val="0"/>
    <w:rPr>
      <w:rFonts w:ascii="Consolas" w:hAnsi="Consolas"/>
      <w:color w:val="19177C"/>
      <w:sz w:val="22"/>
    </w:rPr>
  </w:style>
  <w:style w:type="character" w:customStyle="1" w:styleId="64">
    <w:name w:val="ControlFlowTok"/>
    <w:basedOn w:val="41"/>
    <w:qFormat/>
    <w:uiPriority w:val="0"/>
    <w:rPr>
      <w:rFonts w:ascii="Consolas" w:hAnsi="Consolas"/>
      <w:b/>
      <w:color w:val="007020"/>
      <w:sz w:val="22"/>
    </w:rPr>
  </w:style>
  <w:style w:type="character" w:customStyle="1" w:styleId="65">
    <w:name w:val="OperatorTok"/>
    <w:basedOn w:val="41"/>
    <w:qFormat/>
    <w:uiPriority w:val="0"/>
    <w:rPr>
      <w:rFonts w:ascii="Consolas" w:hAnsi="Consolas"/>
      <w:color w:val="666666"/>
      <w:sz w:val="22"/>
    </w:rPr>
  </w:style>
  <w:style w:type="character" w:customStyle="1" w:styleId="66">
    <w:name w:val="BuiltInTok"/>
    <w:basedOn w:val="41"/>
    <w:qFormat/>
    <w:uiPriority w:val="0"/>
    <w:rPr>
      <w:rFonts w:ascii="Consolas" w:hAnsi="Consolas"/>
      <w:color w:val="008000"/>
      <w:sz w:val="22"/>
    </w:rPr>
  </w:style>
  <w:style w:type="character" w:customStyle="1" w:styleId="67">
    <w:name w:val="ExtensionTok"/>
    <w:basedOn w:val="41"/>
    <w:qFormat/>
    <w:uiPriority w:val="0"/>
    <w:rPr>
      <w:rFonts w:ascii="Consolas" w:hAnsi="Consolas"/>
      <w:sz w:val="22"/>
    </w:rPr>
  </w:style>
  <w:style w:type="character" w:customStyle="1" w:styleId="68">
    <w:name w:val="PreprocessorTok"/>
    <w:basedOn w:val="41"/>
    <w:qFormat/>
    <w:uiPriority w:val="0"/>
    <w:rPr>
      <w:rFonts w:ascii="Consolas" w:hAnsi="Consolas"/>
      <w:color w:val="BC7A00"/>
      <w:sz w:val="22"/>
    </w:rPr>
  </w:style>
  <w:style w:type="character" w:customStyle="1" w:styleId="69">
    <w:name w:val="AttributeTok"/>
    <w:basedOn w:val="41"/>
    <w:qFormat/>
    <w:uiPriority w:val="0"/>
    <w:rPr>
      <w:rFonts w:ascii="Consolas" w:hAnsi="Consolas"/>
      <w:color w:val="7D9029"/>
      <w:sz w:val="22"/>
    </w:rPr>
  </w:style>
  <w:style w:type="character" w:customStyle="1" w:styleId="70">
    <w:name w:val="RegionMarkerTok"/>
    <w:basedOn w:val="41"/>
    <w:qFormat/>
    <w:uiPriority w:val="0"/>
    <w:rPr>
      <w:rFonts w:ascii="Consolas" w:hAnsi="Consolas"/>
      <w:sz w:val="22"/>
    </w:rPr>
  </w:style>
  <w:style w:type="character" w:customStyle="1" w:styleId="71">
    <w:name w:val="InformationTok"/>
    <w:basedOn w:val="41"/>
    <w:qFormat/>
    <w:uiPriority w:val="0"/>
    <w:rPr>
      <w:rFonts w:ascii="Consolas" w:hAnsi="Consolas"/>
      <w:b/>
      <w:i/>
      <w:color w:val="60A0B0"/>
      <w:sz w:val="22"/>
    </w:rPr>
  </w:style>
  <w:style w:type="character" w:customStyle="1" w:styleId="72">
    <w:name w:val="WarningTok"/>
    <w:basedOn w:val="41"/>
    <w:qFormat/>
    <w:uiPriority w:val="0"/>
    <w:rPr>
      <w:rFonts w:ascii="Consolas" w:hAnsi="Consolas"/>
      <w:b/>
      <w:i/>
      <w:color w:val="60A0B0"/>
      <w:sz w:val="22"/>
    </w:rPr>
  </w:style>
  <w:style w:type="character" w:customStyle="1" w:styleId="73">
    <w:name w:val="AlertTok"/>
    <w:basedOn w:val="41"/>
    <w:qFormat/>
    <w:uiPriority w:val="0"/>
    <w:rPr>
      <w:rFonts w:ascii="Consolas" w:hAnsi="Consolas"/>
      <w:b/>
      <w:color w:val="FF0000"/>
      <w:sz w:val="22"/>
    </w:rPr>
  </w:style>
  <w:style w:type="character" w:customStyle="1" w:styleId="74">
    <w:name w:val="ErrorTok"/>
    <w:basedOn w:val="41"/>
    <w:qFormat/>
    <w:uiPriority w:val="0"/>
    <w:rPr>
      <w:rFonts w:ascii="Consolas" w:hAnsi="Consolas"/>
      <w:b/>
      <w:color w:val="FF0000"/>
      <w:sz w:val="22"/>
    </w:rPr>
  </w:style>
  <w:style w:type="character" w:customStyle="1" w:styleId="75">
    <w:name w:val="NormalTok"/>
    <w:basedOn w:val="41"/>
    <w:qFormat/>
    <w:uiPriority w:val="0"/>
    <w:rPr>
      <w:rFonts w:ascii="Consolas" w:hAnsi="Consolas"/>
      <w:sz w:val="22"/>
    </w:rPr>
  </w:style>
  <w:style w:type="paragraph" w:styleId="76">
    <w:name w:val="List Paragraph"/>
    <w:basedOn w:val="1"/>
    <w:qFormat/>
    <w:uiPriority w:val="0"/>
    <w:pPr>
      <w:ind w:firstLine="420" w:firstLineChars="200"/>
    </w:pPr>
  </w:style>
  <w:style w:type="character" w:customStyle="1" w:styleId="77">
    <w:name w:val="页眉 字符"/>
    <w:basedOn w:val="24"/>
    <w:link w:val="17"/>
    <w:qFormat/>
    <w:uiPriority w:val="0"/>
    <w:rPr>
      <w:sz w:val="18"/>
      <w:szCs w:val="18"/>
    </w:rPr>
  </w:style>
  <w:style w:type="character" w:customStyle="1" w:styleId="78">
    <w:name w:val="页脚 字符"/>
    <w:basedOn w:val="24"/>
    <w:link w:val="16"/>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4</Pages>
  <Words>2362</Words>
  <Characters>2431</Characters>
  <Lines>26</Lines>
  <Paragraphs>7</Paragraphs>
  <TotalTime>28</TotalTime>
  <ScaleCrop>false</ScaleCrop>
  <LinksUpToDate>false</LinksUpToDate>
  <CharactersWithSpaces>2437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2026-07-23T01:03:00Z</dcterms:created>
  <dc:creator>Administrator</dc:creator>
  <cp:lastModifiedBy>Wxr</cp:lastModifiedBy>
  <dcterms:modified xsi:type="dcterms:W3CDTF">2026-07-23T07:58:09Z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eyJoZGlkIjoiOWNiZDJlYzllZjY4MDhkMzVhNDQ5YzRiMDM2NzNlNzAiLCJ1c2VySWQiOiIzOTE3MjQxNjcifQ==</vt:lpwstr>
  </property>
  <property fmtid="{D5CDD505-2E9C-101B-9397-08002B2CF9AE}" pid="3" name="KSOProductBuildVer">
    <vt:lpwstr>2052-12.1.0.26895</vt:lpwstr>
  </property>
  <property fmtid="{D5CDD505-2E9C-101B-9397-08002B2CF9AE}" pid="4" name="ICV">
    <vt:lpwstr>997D7AC9A30C43769B0496C2B10CDE5B_13</vt:lpwstr>
  </property>
</Properties>
</file>